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49CF" w14:textId="77777777" w:rsidR="00156420" w:rsidRDefault="00156420" w:rsidP="00156420">
      <w:pPr>
        <w:jc w:val="center"/>
        <w:rPr>
          <w:rFonts w:ascii="Arial" w:hAnsi="Arial" w:cs="Arial"/>
          <w:b/>
          <w:bCs/>
          <w:lang w:val="en"/>
        </w:rPr>
      </w:pPr>
      <w:r>
        <w:rPr>
          <w:rFonts w:ascii="Arial" w:hAnsi="Arial" w:cs="Arial"/>
          <w:b/>
          <w:bCs/>
          <w:noProof/>
          <w:lang w:eastAsia="en-GB"/>
        </w:rPr>
        <w:drawing>
          <wp:inline distT="0" distB="0" distL="0" distR="0" wp14:anchorId="578E50E3" wp14:editId="09C1F952">
            <wp:extent cx="1644097" cy="1199828"/>
            <wp:effectExtent l="0" t="0" r="0" b="635"/>
            <wp:docPr id="1" name="Picture 1"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192" cy="1203546"/>
                    </a:xfrm>
                    <a:prstGeom prst="rect">
                      <a:avLst/>
                    </a:prstGeom>
                    <a:noFill/>
                    <a:ln>
                      <a:noFill/>
                    </a:ln>
                  </pic:spPr>
                </pic:pic>
              </a:graphicData>
            </a:graphic>
          </wp:inline>
        </w:drawing>
      </w:r>
    </w:p>
    <w:p w14:paraId="70DC5773" w14:textId="77777777" w:rsidR="00360C69" w:rsidRDefault="00360C69" w:rsidP="00156420">
      <w:pPr>
        <w:jc w:val="center"/>
        <w:rPr>
          <w:rFonts w:ascii="Arial" w:hAnsi="Arial" w:cs="Arial"/>
          <w:b/>
          <w:bCs/>
          <w:sz w:val="32"/>
          <w:szCs w:val="32"/>
          <w:lang w:val="en"/>
        </w:rPr>
      </w:pPr>
    </w:p>
    <w:p w14:paraId="5013BB08" w14:textId="77777777" w:rsidR="00681C92" w:rsidRDefault="00D66347" w:rsidP="00156420">
      <w:pPr>
        <w:jc w:val="center"/>
        <w:rPr>
          <w:rFonts w:ascii="Arial" w:hAnsi="Arial" w:cs="Arial"/>
          <w:b/>
          <w:bCs/>
          <w:sz w:val="32"/>
          <w:szCs w:val="32"/>
          <w:lang w:val="en"/>
        </w:rPr>
      </w:pPr>
      <w:r>
        <w:rPr>
          <w:rFonts w:ascii="Arial" w:hAnsi="Arial" w:cs="Arial"/>
          <w:b/>
          <w:bCs/>
          <w:sz w:val="32"/>
          <w:szCs w:val="32"/>
          <w:lang w:val="en"/>
        </w:rPr>
        <w:t>Recruitment of Ex-O</w:t>
      </w:r>
      <w:r w:rsidR="00156420" w:rsidRPr="00156420">
        <w:rPr>
          <w:rFonts w:ascii="Arial" w:hAnsi="Arial" w:cs="Arial"/>
          <w:b/>
          <w:bCs/>
          <w:sz w:val="32"/>
          <w:szCs w:val="32"/>
          <w:lang w:val="en"/>
        </w:rPr>
        <w:t xml:space="preserve">ffenders </w:t>
      </w:r>
    </w:p>
    <w:p w14:paraId="1FFAFD3F" w14:textId="77777777" w:rsidR="00156420" w:rsidRPr="00156420" w:rsidRDefault="00156420" w:rsidP="00156420">
      <w:pPr>
        <w:rPr>
          <w:rFonts w:ascii="Arial" w:hAnsi="Arial" w:cs="Arial"/>
          <w:b/>
          <w:bCs/>
          <w:lang w:val="en"/>
        </w:rPr>
      </w:pPr>
      <w:r w:rsidRPr="00156420">
        <w:rPr>
          <w:rFonts w:ascii="Arial" w:hAnsi="Arial" w:cs="Arial"/>
          <w:b/>
          <w:bCs/>
          <w:lang w:val="en"/>
        </w:rPr>
        <w:t>Introduction</w:t>
      </w:r>
    </w:p>
    <w:p w14:paraId="7AD21D78" w14:textId="77777777" w:rsidR="00156420" w:rsidRPr="00156420" w:rsidRDefault="00156420" w:rsidP="00156420">
      <w:pPr>
        <w:rPr>
          <w:rFonts w:ascii="Arial" w:hAnsi="Arial" w:cs="Arial"/>
          <w:bCs/>
          <w:lang w:val="en"/>
        </w:rPr>
      </w:pPr>
      <w:r w:rsidRPr="00156420">
        <w:rPr>
          <w:rFonts w:ascii="Arial" w:hAnsi="Arial" w:cs="Arial"/>
          <w:bCs/>
          <w:lang w:val="en"/>
        </w:rPr>
        <w:t xml:space="preserve">The </w:t>
      </w:r>
      <w:hyperlink r:id="rId9" w:history="1">
        <w:r w:rsidRPr="00156420">
          <w:rPr>
            <w:rStyle w:val="Hyperlink"/>
            <w:rFonts w:ascii="Arial" w:hAnsi="Arial" w:cs="Arial"/>
            <w:bCs/>
            <w:lang w:val="en"/>
          </w:rPr>
          <w:t>code of practice</w:t>
        </w:r>
      </w:hyperlink>
      <w:r w:rsidRPr="00156420">
        <w:rPr>
          <w:rFonts w:ascii="Arial" w:hAnsi="Arial" w:cs="Arial"/>
          <w:bCs/>
          <w:lang w:val="en"/>
        </w:rPr>
        <w:t xml:space="preserve"> published under section 122 of the Police Act 1997 advises that it is a requirement that all registered bodies </w:t>
      </w:r>
      <w:r w:rsidR="004A79F5">
        <w:rPr>
          <w:rFonts w:ascii="Arial" w:hAnsi="Arial" w:cs="Arial"/>
          <w:bCs/>
          <w:lang w:val="en"/>
        </w:rPr>
        <w:t xml:space="preserve">(and clients of registered umbrella bodies) </w:t>
      </w:r>
      <w:r w:rsidRPr="00156420">
        <w:rPr>
          <w:rFonts w:ascii="Arial" w:hAnsi="Arial" w:cs="Arial"/>
          <w:bCs/>
          <w:lang w:val="en"/>
        </w:rPr>
        <w:t>must treat DBS applicants who have a criminal record fairly and not discriminate automatically because of a conviction or other information revealed.</w:t>
      </w:r>
    </w:p>
    <w:p w14:paraId="69C17EA6" w14:textId="77777777" w:rsidR="00156420" w:rsidRPr="00156420" w:rsidRDefault="00156420" w:rsidP="00156420">
      <w:pPr>
        <w:rPr>
          <w:rFonts w:ascii="Arial" w:hAnsi="Arial" w:cs="Arial"/>
          <w:bCs/>
          <w:lang w:val="en"/>
        </w:rPr>
      </w:pPr>
      <w:r w:rsidRPr="00156420">
        <w:rPr>
          <w:rFonts w:ascii="Arial" w:hAnsi="Arial" w:cs="Arial"/>
          <w:bCs/>
          <w:lang w:val="en"/>
        </w:rPr>
        <w:t xml:space="preserve">The code also obliges </w:t>
      </w:r>
      <w:r w:rsidR="004A79F5">
        <w:rPr>
          <w:rFonts w:ascii="Arial" w:hAnsi="Arial" w:cs="Arial"/>
          <w:bCs/>
          <w:lang w:val="en"/>
        </w:rPr>
        <w:t>such</w:t>
      </w:r>
      <w:r w:rsidRPr="00156420">
        <w:rPr>
          <w:rFonts w:ascii="Arial" w:hAnsi="Arial" w:cs="Arial"/>
          <w:bCs/>
          <w:lang w:val="en"/>
        </w:rPr>
        <w:t xml:space="preserve"> bodies to have a written policy on the recruitment of ex-offenders; a copy of which can be given to DBS applicants at the outset of the recruitment process.</w:t>
      </w:r>
    </w:p>
    <w:p w14:paraId="3F24A276" w14:textId="77777777" w:rsidR="00156420" w:rsidRPr="00156420" w:rsidRDefault="00156420" w:rsidP="00156420">
      <w:pPr>
        <w:rPr>
          <w:rFonts w:ascii="Arial" w:hAnsi="Arial" w:cs="Arial"/>
          <w:bCs/>
          <w:lang w:val="en"/>
        </w:rPr>
      </w:pPr>
      <w:r w:rsidRPr="00156420">
        <w:rPr>
          <w:rFonts w:ascii="Arial" w:hAnsi="Arial" w:cs="Arial"/>
          <w:bCs/>
          <w:lang w:val="en"/>
        </w:rPr>
        <w:t>To help you meet this requirement</w:t>
      </w:r>
      <w:r w:rsidR="00444528">
        <w:rPr>
          <w:rFonts w:ascii="Arial" w:hAnsi="Arial" w:cs="Arial"/>
          <w:bCs/>
          <w:lang w:val="en"/>
        </w:rPr>
        <w:t xml:space="preserve"> the </w:t>
      </w:r>
      <w:r w:rsidR="00444528" w:rsidRPr="00444528">
        <w:rPr>
          <w:rFonts w:ascii="Arial" w:hAnsi="Arial" w:cs="Arial"/>
          <w:bCs/>
          <w:lang w:val="en"/>
        </w:rPr>
        <w:t>Diocese of Exeter</w:t>
      </w:r>
      <w:r w:rsidRPr="00156420">
        <w:rPr>
          <w:rFonts w:ascii="Arial" w:hAnsi="Arial" w:cs="Arial"/>
          <w:bCs/>
          <w:lang w:val="en"/>
        </w:rPr>
        <w:t xml:space="preserve"> has produced the following</w:t>
      </w:r>
      <w:r w:rsidR="00444528">
        <w:rPr>
          <w:rFonts w:ascii="Arial" w:hAnsi="Arial" w:cs="Arial"/>
          <w:bCs/>
          <w:lang w:val="en"/>
        </w:rPr>
        <w:t xml:space="preserve"> policy </w:t>
      </w:r>
      <w:r w:rsidR="00444528" w:rsidRPr="00156420">
        <w:rPr>
          <w:rFonts w:ascii="Arial" w:hAnsi="Arial" w:cs="Arial"/>
          <w:bCs/>
          <w:lang w:val="en"/>
        </w:rPr>
        <w:t>statement</w:t>
      </w:r>
      <w:r w:rsidR="00444528">
        <w:rPr>
          <w:rFonts w:ascii="Arial" w:hAnsi="Arial" w:cs="Arial"/>
          <w:bCs/>
          <w:lang w:val="en"/>
        </w:rPr>
        <w:t xml:space="preserve"> (based upon</w:t>
      </w:r>
      <w:r w:rsidRPr="00156420">
        <w:rPr>
          <w:rFonts w:ascii="Arial" w:hAnsi="Arial" w:cs="Arial"/>
          <w:bCs/>
          <w:lang w:val="en"/>
        </w:rPr>
        <w:t xml:space="preserve"> </w:t>
      </w:r>
      <w:r w:rsidR="00444528" w:rsidRPr="00156420">
        <w:rPr>
          <w:rFonts w:ascii="Arial" w:hAnsi="Arial" w:cs="Arial"/>
          <w:bCs/>
          <w:lang w:val="en"/>
        </w:rPr>
        <w:t xml:space="preserve">the DBS </w:t>
      </w:r>
      <w:r w:rsidR="006A1630">
        <w:rPr>
          <w:rFonts w:ascii="Arial" w:hAnsi="Arial" w:cs="Arial"/>
          <w:bCs/>
          <w:lang w:val="en"/>
        </w:rPr>
        <w:t>‘</w:t>
      </w:r>
      <w:r w:rsidRPr="00156420">
        <w:rPr>
          <w:rFonts w:ascii="Arial" w:hAnsi="Arial" w:cs="Arial"/>
          <w:bCs/>
          <w:lang w:val="en"/>
        </w:rPr>
        <w:t>sample policy</w:t>
      </w:r>
      <w:r w:rsidR="006A1630">
        <w:rPr>
          <w:rFonts w:ascii="Arial" w:hAnsi="Arial" w:cs="Arial"/>
          <w:bCs/>
          <w:lang w:val="en"/>
        </w:rPr>
        <w:t>’</w:t>
      </w:r>
      <w:r w:rsidR="00444528">
        <w:rPr>
          <w:rFonts w:ascii="Arial" w:hAnsi="Arial" w:cs="Arial"/>
          <w:bCs/>
          <w:lang w:val="en"/>
        </w:rPr>
        <w:t>)</w:t>
      </w:r>
      <w:r w:rsidRPr="00156420">
        <w:rPr>
          <w:rFonts w:ascii="Arial" w:hAnsi="Arial" w:cs="Arial"/>
          <w:bCs/>
          <w:lang w:val="en"/>
        </w:rPr>
        <w:t xml:space="preserve"> which can be adapted </w:t>
      </w:r>
      <w:r w:rsidR="00444528">
        <w:rPr>
          <w:rFonts w:ascii="Arial" w:hAnsi="Arial" w:cs="Arial"/>
          <w:bCs/>
          <w:lang w:val="en"/>
        </w:rPr>
        <w:t xml:space="preserve">[where indicated] </w:t>
      </w:r>
      <w:r w:rsidRPr="00156420">
        <w:rPr>
          <w:rFonts w:ascii="Arial" w:hAnsi="Arial" w:cs="Arial"/>
          <w:bCs/>
          <w:lang w:val="en"/>
        </w:rPr>
        <w:t>for this purpose.</w:t>
      </w:r>
    </w:p>
    <w:p w14:paraId="7B7961E1" w14:textId="77777777" w:rsidR="00156420" w:rsidRPr="00156420" w:rsidRDefault="00156420" w:rsidP="00156420">
      <w:pPr>
        <w:rPr>
          <w:rFonts w:ascii="Arial" w:hAnsi="Arial" w:cs="Arial"/>
          <w:b/>
          <w:bCs/>
          <w:lang w:val="en"/>
        </w:rPr>
      </w:pPr>
      <w:r w:rsidRPr="00156420">
        <w:rPr>
          <w:rFonts w:ascii="Arial" w:hAnsi="Arial" w:cs="Arial"/>
          <w:b/>
          <w:bCs/>
          <w:lang w:val="en"/>
        </w:rPr>
        <w:t>Further information about conviction information</w:t>
      </w:r>
    </w:p>
    <w:p w14:paraId="7AACECD8" w14:textId="77777777" w:rsidR="00156420" w:rsidRPr="00156420" w:rsidRDefault="00156420" w:rsidP="00156420">
      <w:pPr>
        <w:rPr>
          <w:rFonts w:ascii="Arial" w:hAnsi="Arial" w:cs="Arial"/>
          <w:bCs/>
          <w:lang w:val="en"/>
        </w:rPr>
      </w:pPr>
      <w:r w:rsidRPr="00156420">
        <w:rPr>
          <w:rFonts w:ascii="Arial" w:hAnsi="Arial" w:cs="Arial"/>
          <w:bCs/>
          <w:lang w:val="en"/>
        </w:rPr>
        <w:t>On the 29 May 2013, legislation came into force that allows certain old and minor cautions and convictions to no longer be subject to disclosure.</w:t>
      </w:r>
    </w:p>
    <w:p w14:paraId="57072143" w14:textId="77777777" w:rsidR="00156420" w:rsidRPr="00156420" w:rsidRDefault="00156420" w:rsidP="00156420">
      <w:pPr>
        <w:numPr>
          <w:ilvl w:val="0"/>
          <w:numId w:val="2"/>
        </w:numPr>
        <w:tabs>
          <w:tab w:val="clear" w:pos="720"/>
          <w:tab w:val="num" w:pos="426"/>
        </w:tabs>
        <w:ind w:left="426" w:hanging="426"/>
        <w:rPr>
          <w:rFonts w:ascii="Arial" w:hAnsi="Arial" w:cs="Arial"/>
          <w:bCs/>
          <w:lang w:val="en"/>
        </w:rPr>
      </w:pPr>
      <w:r w:rsidRPr="00156420">
        <w:rPr>
          <w:rFonts w:ascii="Arial" w:hAnsi="Arial" w:cs="Arial"/>
          <w:bCs/>
          <w:lang w:val="en"/>
        </w:rPr>
        <w:t>employers will no longer be able to take an individual’s old and minor cautions and convictions into account when making decisions</w:t>
      </w:r>
      <w:r w:rsidR="00444528">
        <w:rPr>
          <w:rFonts w:ascii="Arial" w:hAnsi="Arial" w:cs="Arial"/>
          <w:bCs/>
          <w:lang w:val="en"/>
        </w:rPr>
        <w:t xml:space="preserve"> where they fall into the category above (i.e. they do not appear on a DBS disclosure)</w:t>
      </w:r>
    </w:p>
    <w:p w14:paraId="4793FEDA" w14:textId="77777777" w:rsidR="00156420" w:rsidRPr="00156420" w:rsidRDefault="00156420" w:rsidP="00156420">
      <w:pPr>
        <w:numPr>
          <w:ilvl w:val="0"/>
          <w:numId w:val="2"/>
        </w:numPr>
        <w:tabs>
          <w:tab w:val="clear" w:pos="720"/>
          <w:tab w:val="num" w:pos="426"/>
        </w:tabs>
        <w:ind w:left="426" w:hanging="426"/>
        <w:rPr>
          <w:rFonts w:ascii="Arial" w:hAnsi="Arial" w:cs="Arial"/>
          <w:bCs/>
          <w:lang w:val="en"/>
        </w:rPr>
      </w:pPr>
      <w:r w:rsidRPr="00156420">
        <w:rPr>
          <w:rFonts w:ascii="Arial" w:hAnsi="Arial" w:cs="Arial"/>
          <w:bCs/>
          <w:lang w:val="en"/>
        </w:rPr>
        <w:t>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14:paraId="13A4C02C" w14:textId="77777777" w:rsidR="00444528" w:rsidRPr="00444528" w:rsidRDefault="00156420" w:rsidP="00444528">
      <w:pPr>
        <w:numPr>
          <w:ilvl w:val="0"/>
          <w:numId w:val="2"/>
        </w:numPr>
        <w:rPr>
          <w:rFonts w:ascii="Arial" w:hAnsi="Arial" w:cs="Arial"/>
          <w:bCs/>
          <w:lang w:val="en"/>
        </w:rPr>
      </w:pPr>
      <w:r w:rsidRPr="00156420">
        <w:rPr>
          <w:rFonts w:ascii="Arial" w:hAnsi="Arial" w:cs="Arial"/>
          <w:bCs/>
          <w:lang w:val="en"/>
        </w:rPr>
        <w:t xml:space="preserve">you can direct applicants to the guidance and criteria which explains the </w:t>
      </w:r>
      <w:hyperlink r:id="rId10" w:history="1">
        <w:r w:rsidRPr="00156420">
          <w:rPr>
            <w:rStyle w:val="Hyperlink"/>
            <w:rFonts w:ascii="Arial" w:hAnsi="Arial" w:cs="Arial"/>
            <w:bCs/>
            <w:lang w:val="en"/>
          </w:rPr>
          <w:t>filtering of old and minor cautions and convictions</w:t>
        </w:r>
      </w:hyperlink>
      <w:r w:rsidRPr="00156420">
        <w:rPr>
          <w:rFonts w:ascii="Arial" w:hAnsi="Arial" w:cs="Arial"/>
          <w:bCs/>
          <w:lang w:val="en"/>
        </w:rPr>
        <w:t xml:space="preserve"> which are now ‘protected’ so not subject to disclosure to employers</w:t>
      </w:r>
      <w:r w:rsidR="00444528">
        <w:rPr>
          <w:rFonts w:ascii="Arial" w:hAnsi="Arial" w:cs="Arial"/>
          <w:bCs/>
          <w:lang w:val="en"/>
        </w:rPr>
        <w:t xml:space="preserve"> - </w:t>
      </w:r>
      <w:hyperlink r:id="rId11" w:history="1">
        <w:r w:rsidR="00444528" w:rsidRPr="00444528">
          <w:rPr>
            <w:rStyle w:val="Hyperlink"/>
            <w:rFonts w:ascii="Arial" w:hAnsi="Arial" w:cs="Arial"/>
            <w:bCs/>
            <w:lang w:val="en"/>
          </w:rPr>
          <w:t>https://www.gov.uk/government/collections/dbs-filtering-guidance</w:t>
        </w:r>
      </w:hyperlink>
    </w:p>
    <w:p w14:paraId="326D1CB2" w14:textId="1AB1AF92" w:rsidR="00A7167F" w:rsidRPr="00156420" w:rsidRDefault="002E7CAB" w:rsidP="00A7167F">
      <w:pPr>
        <w:rPr>
          <w:rFonts w:ascii="Arial" w:hAnsi="Arial" w:cs="Arial"/>
          <w:b/>
          <w:bCs/>
          <w:lang w:val="en"/>
        </w:rPr>
      </w:pPr>
      <w:r>
        <w:rPr>
          <w:rFonts w:ascii="Arial" w:hAnsi="Arial" w:cs="Arial"/>
          <w:b/>
          <w:bCs/>
          <w:lang w:val="en"/>
        </w:rPr>
        <w:t>‘The Parish of Dawlish with Holcombe</w:t>
      </w:r>
      <w:r w:rsidR="00444528">
        <w:rPr>
          <w:rFonts w:ascii="Arial" w:hAnsi="Arial" w:cs="Arial"/>
          <w:b/>
          <w:bCs/>
          <w:lang w:val="en"/>
        </w:rPr>
        <w:t xml:space="preserve"> Recruitment of Ex-Offenders P</w:t>
      </w:r>
      <w:r w:rsidR="00A7167F" w:rsidRPr="00156420">
        <w:rPr>
          <w:rFonts w:ascii="Arial" w:hAnsi="Arial" w:cs="Arial"/>
          <w:b/>
          <w:bCs/>
          <w:lang w:val="en"/>
        </w:rPr>
        <w:t>olicy</w:t>
      </w:r>
      <w:r w:rsidR="006A1630">
        <w:rPr>
          <w:rFonts w:ascii="Arial" w:hAnsi="Arial" w:cs="Arial"/>
          <w:b/>
          <w:bCs/>
          <w:lang w:val="en"/>
        </w:rPr>
        <w:t>’</w:t>
      </w:r>
    </w:p>
    <w:p w14:paraId="1EF2A1CC" w14:textId="4E0FDF07" w:rsidR="00A7167F" w:rsidRPr="00156420" w:rsidRDefault="00A7167F" w:rsidP="00201D4D">
      <w:pPr>
        <w:numPr>
          <w:ilvl w:val="0"/>
          <w:numId w:val="4"/>
        </w:numPr>
        <w:rPr>
          <w:rFonts w:ascii="Arial" w:hAnsi="Arial" w:cs="Arial"/>
          <w:lang w:val="en"/>
        </w:rPr>
      </w:pPr>
      <w:r w:rsidRPr="00156420">
        <w:rPr>
          <w:rFonts w:ascii="Arial" w:hAnsi="Arial" w:cs="Arial"/>
          <w:lang w:val="en"/>
        </w:rPr>
        <w:t xml:space="preserve">as an </w:t>
      </w:r>
      <w:r w:rsidR="00681C92">
        <w:rPr>
          <w:rFonts w:ascii="Arial" w:hAnsi="Arial" w:cs="Arial"/>
          <w:lang w:val="en"/>
        </w:rPr>
        <w:t>organisation</w:t>
      </w:r>
      <w:r w:rsidRPr="00156420">
        <w:rPr>
          <w:rFonts w:ascii="Arial" w:hAnsi="Arial" w:cs="Arial"/>
          <w:lang w:val="en"/>
        </w:rPr>
        <w:t xml:space="preserve"> </w:t>
      </w:r>
      <w:r w:rsidR="00360C69">
        <w:rPr>
          <w:rFonts w:ascii="Arial" w:hAnsi="Arial" w:cs="Arial"/>
          <w:lang w:val="en"/>
        </w:rPr>
        <w:t>which assesses</w:t>
      </w:r>
      <w:r w:rsidRPr="00156420">
        <w:rPr>
          <w:rFonts w:ascii="Arial" w:hAnsi="Arial" w:cs="Arial"/>
          <w:lang w:val="en"/>
        </w:rPr>
        <w:t xml:space="preserve"> applicants’ suitability for positions which are included in the Rehabilitation of Offenders Act 1974 (Exceptions) Order using </w:t>
      </w:r>
      <w:r w:rsidRPr="00156420">
        <w:rPr>
          <w:rFonts w:ascii="Arial" w:hAnsi="Arial" w:cs="Arial"/>
          <w:lang w:val="en"/>
        </w:rPr>
        <w:lastRenderedPageBreak/>
        <w:t xml:space="preserve">criminal record checks processed through the Disclosure and Barring Service (DBS), </w:t>
      </w:r>
      <w:r w:rsidR="002E7CAB" w:rsidRPr="002E7CAB">
        <w:rPr>
          <w:rFonts w:ascii="Arial" w:hAnsi="Arial" w:cs="Arial"/>
          <w:lang w:val="en"/>
        </w:rPr>
        <w:t>the Parish of Dawlish with Holcombe</w:t>
      </w:r>
      <w:r w:rsidRPr="00156420">
        <w:rPr>
          <w:rFonts w:ascii="Arial" w:hAnsi="Arial" w:cs="Arial"/>
          <w:lang w:val="en"/>
        </w:rPr>
        <w:t xml:space="preserve"> complies fully with the </w:t>
      </w:r>
      <w:hyperlink r:id="rId12" w:history="1">
        <w:r w:rsidRPr="00156420">
          <w:rPr>
            <w:rStyle w:val="Hyperlink"/>
            <w:rFonts w:ascii="Arial" w:hAnsi="Arial" w:cs="Arial"/>
            <w:lang w:val="en"/>
          </w:rPr>
          <w:t>code of practice</w:t>
        </w:r>
      </w:hyperlink>
      <w:r w:rsidRPr="00156420">
        <w:rPr>
          <w:rFonts w:ascii="Arial" w:hAnsi="Arial" w:cs="Arial"/>
          <w:lang w:val="en"/>
        </w:rPr>
        <w:t xml:space="preserve"> and undertakes to treat all applicants for positions fairly</w:t>
      </w:r>
      <w:r w:rsidR="00444528">
        <w:rPr>
          <w:rFonts w:ascii="Arial" w:hAnsi="Arial" w:cs="Arial"/>
          <w:lang w:val="en"/>
        </w:rPr>
        <w:t xml:space="preserve"> - </w:t>
      </w:r>
      <w:hyperlink r:id="rId13" w:history="1">
        <w:r w:rsidR="00444528" w:rsidRPr="00444528">
          <w:rPr>
            <w:rStyle w:val="Hyperlink"/>
            <w:rFonts w:ascii="Arial" w:hAnsi="Arial" w:cs="Arial"/>
            <w:lang w:val="en"/>
          </w:rPr>
          <w:t>https://www.gov.uk/government/publications/dbs-code-of-practice</w:t>
        </w:r>
      </w:hyperlink>
    </w:p>
    <w:p w14:paraId="5D35CD60" w14:textId="482A8127"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undertakes not to discriminate unfairly against any </w:t>
      </w:r>
      <w:r w:rsidR="00360C69">
        <w:rPr>
          <w:rFonts w:ascii="Arial" w:hAnsi="Arial" w:cs="Arial"/>
          <w:lang w:val="en"/>
        </w:rPr>
        <w:t xml:space="preserve">person </w:t>
      </w:r>
      <w:r w:rsidR="00A7167F" w:rsidRPr="00156420">
        <w:rPr>
          <w:rFonts w:ascii="Arial" w:hAnsi="Arial" w:cs="Arial"/>
          <w:lang w:val="en"/>
        </w:rPr>
        <w:t>subject of a criminal record check on the basis of a conviction or other information revealed</w:t>
      </w:r>
    </w:p>
    <w:p w14:paraId="7414B38A" w14:textId="262E59E8"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can only ask an individual to provide details of convictions and cautions that </w:t>
      </w:r>
      <w:r>
        <w:rPr>
          <w:rFonts w:ascii="Arial" w:hAnsi="Arial" w:cs="Arial"/>
          <w:lang w:val="en"/>
        </w:rPr>
        <w:t>The Parish of Dawlish with Holcombe</w:t>
      </w:r>
      <w:r w:rsidR="00A7167F" w:rsidRPr="00156420">
        <w:rPr>
          <w:rFonts w:ascii="Arial" w:hAnsi="Arial" w:cs="Arial"/>
          <w:lang w:val="en"/>
        </w:rPr>
        <w:t xml:space="preserve"> are l</w:t>
      </w:r>
      <w:r w:rsidR="00444528">
        <w:rPr>
          <w:rFonts w:ascii="Arial" w:hAnsi="Arial" w:cs="Arial"/>
          <w:lang w:val="en"/>
        </w:rPr>
        <w:t>egally entitled to know about, w</w:t>
      </w:r>
      <w:r w:rsidR="00A7167F" w:rsidRPr="00156420">
        <w:rPr>
          <w:rFonts w:ascii="Arial" w:hAnsi="Arial" w:cs="Arial"/>
          <w:lang w:val="en"/>
        </w:rPr>
        <w:t>here a DBS certificate a</w:t>
      </w:r>
      <w:r w:rsidR="00444528">
        <w:rPr>
          <w:rFonts w:ascii="Arial" w:hAnsi="Arial" w:cs="Arial"/>
          <w:lang w:val="en"/>
        </w:rPr>
        <w:t>t either Standard or E</w:t>
      </w:r>
      <w:r w:rsidR="00A7167F" w:rsidRPr="00156420">
        <w:rPr>
          <w:rFonts w:ascii="Arial" w:hAnsi="Arial" w:cs="Arial"/>
          <w:lang w:val="en"/>
        </w:rPr>
        <w:t>nhanced level can legally be requested (where the position is one that is included in the Rehabilitation of Offenders Act 1974 (Exceptions) Order 1975 as amended, and where appropriate Police Act Regulations as amended)</w:t>
      </w:r>
    </w:p>
    <w:p w14:paraId="5938A2E7" w14:textId="231C1E44"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can only ask an individual about convictions and cautions that are not </w:t>
      </w:r>
      <w:r w:rsidR="00407B11">
        <w:rPr>
          <w:rFonts w:ascii="Arial" w:hAnsi="Arial" w:cs="Arial"/>
          <w:lang w:val="en"/>
        </w:rPr>
        <w:t>‘</w:t>
      </w:r>
      <w:r w:rsidR="00A7167F" w:rsidRPr="00156420">
        <w:rPr>
          <w:rFonts w:ascii="Arial" w:hAnsi="Arial" w:cs="Arial"/>
          <w:lang w:val="en"/>
        </w:rPr>
        <w:t>protected</w:t>
      </w:r>
      <w:r w:rsidR="00407B11">
        <w:rPr>
          <w:rFonts w:ascii="Arial" w:hAnsi="Arial" w:cs="Arial"/>
          <w:lang w:val="en"/>
        </w:rPr>
        <w:t>’</w:t>
      </w:r>
    </w:p>
    <w:p w14:paraId="6CCE55CD" w14:textId="124FE084"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is committed to the fair treatment of its staff</w:t>
      </w:r>
      <w:r w:rsidR="00360C69">
        <w:rPr>
          <w:rFonts w:ascii="Arial" w:hAnsi="Arial" w:cs="Arial"/>
          <w:lang w:val="en"/>
        </w:rPr>
        <w:t xml:space="preserve"> (paid and voluntary)</w:t>
      </w:r>
      <w:r w:rsidR="00A7167F" w:rsidRPr="00156420">
        <w:rPr>
          <w:rFonts w:ascii="Arial" w:hAnsi="Arial" w:cs="Arial"/>
          <w:lang w:val="en"/>
        </w:rPr>
        <w:t>, potential staff</w:t>
      </w:r>
      <w:r w:rsidR="00F71745">
        <w:rPr>
          <w:rFonts w:ascii="Arial" w:hAnsi="Arial" w:cs="Arial"/>
          <w:lang w:val="en"/>
        </w:rPr>
        <w:t>/officers</w:t>
      </w:r>
      <w:r w:rsidR="00A7167F" w:rsidRPr="00156420">
        <w:rPr>
          <w:rFonts w:ascii="Arial" w:hAnsi="Arial" w:cs="Arial"/>
          <w:lang w:val="en"/>
        </w:rPr>
        <w:t xml:space="preserve"> or users of its services, regardless of race, gender, religion, sexual orientation, responsibilities for </w:t>
      </w:r>
      <w:r w:rsidR="00E14CCF" w:rsidRPr="00156420">
        <w:rPr>
          <w:rFonts w:ascii="Arial" w:hAnsi="Arial" w:cs="Arial"/>
          <w:lang w:val="en"/>
        </w:rPr>
        <w:t>dependents</w:t>
      </w:r>
      <w:r w:rsidR="00A7167F" w:rsidRPr="00156420">
        <w:rPr>
          <w:rFonts w:ascii="Arial" w:hAnsi="Arial" w:cs="Arial"/>
          <w:lang w:val="en"/>
        </w:rPr>
        <w:t>, age, physical/mental disability or offending background</w:t>
      </w:r>
    </w:p>
    <w:p w14:paraId="42BE8A2A" w14:textId="449B7618"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w:t>
      </w:r>
      <w:r w:rsidR="00407B11">
        <w:rPr>
          <w:rFonts w:ascii="Arial" w:hAnsi="Arial" w:cs="Arial"/>
          <w:lang w:val="en"/>
        </w:rPr>
        <w:t xml:space="preserve">will make this </w:t>
      </w:r>
      <w:r w:rsidR="00A7167F" w:rsidRPr="00156420">
        <w:rPr>
          <w:rFonts w:ascii="Arial" w:hAnsi="Arial" w:cs="Arial"/>
          <w:lang w:val="en"/>
        </w:rPr>
        <w:t>written policy on the recruitment of ex-</w:t>
      </w:r>
      <w:r w:rsidR="00F71745">
        <w:rPr>
          <w:rFonts w:ascii="Arial" w:hAnsi="Arial" w:cs="Arial"/>
          <w:lang w:val="en"/>
        </w:rPr>
        <w:t xml:space="preserve">offenders, available to all </w:t>
      </w:r>
      <w:r w:rsidR="00A7167F" w:rsidRPr="00156420">
        <w:rPr>
          <w:rFonts w:ascii="Arial" w:hAnsi="Arial" w:cs="Arial"/>
          <w:lang w:val="en"/>
        </w:rPr>
        <w:t>applicants at the start of the recruitment process</w:t>
      </w:r>
    </w:p>
    <w:p w14:paraId="22C74E4B" w14:textId="0F12D12D"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actively promotes equality of opportunity for all with the right mix of talent, skills and potential</w:t>
      </w:r>
      <w:r w:rsidR="00681C92">
        <w:rPr>
          <w:rFonts w:ascii="Arial" w:hAnsi="Arial" w:cs="Arial"/>
          <w:lang w:val="en"/>
        </w:rPr>
        <w:t>,</w:t>
      </w:r>
      <w:r w:rsidR="00A7167F" w:rsidRPr="00156420">
        <w:rPr>
          <w:rFonts w:ascii="Arial" w:hAnsi="Arial" w:cs="Arial"/>
          <w:lang w:val="en"/>
        </w:rPr>
        <w:t xml:space="preserve"> and welcome applications from a wide range of candidates, including those with criminal records</w:t>
      </w:r>
    </w:p>
    <w:p w14:paraId="53134F56" w14:textId="7EADC3F5"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select all candidates for interview based on their skills, qualifications and experience</w:t>
      </w:r>
      <w:r w:rsidR="00754557">
        <w:rPr>
          <w:rFonts w:ascii="Arial" w:hAnsi="Arial" w:cs="Arial"/>
          <w:lang w:val="en"/>
        </w:rPr>
        <w:t xml:space="preserve"> (excepting where there is an ‘occupational requirement’ as laid out under the terms of the Equality Act 2010)</w:t>
      </w:r>
    </w:p>
    <w:p w14:paraId="26D78A02" w14:textId="77777777" w:rsidR="00A7167F" w:rsidRPr="00156420" w:rsidRDefault="00A7167F" w:rsidP="00201D4D">
      <w:pPr>
        <w:numPr>
          <w:ilvl w:val="0"/>
          <w:numId w:val="4"/>
        </w:numPr>
        <w:rPr>
          <w:rFonts w:ascii="Arial" w:hAnsi="Arial" w:cs="Arial"/>
          <w:lang w:val="en"/>
        </w:rPr>
      </w:pPr>
      <w:r w:rsidRPr="00156420">
        <w:rPr>
          <w:rFonts w:ascii="Arial" w:hAnsi="Arial" w:cs="Arial"/>
          <w:lang w:val="en"/>
        </w:rPr>
        <w:t>an application for a criminal record check is only submitt</w:t>
      </w:r>
      <w:r w:rsidR="00FD17AA">
        <w:rPr>
          <w:rFonts w:ascii="Arial" w:hAnsi="Arial" w:cs="Arial"/>
          <w:lang w:val="en"/>
        </w:rPr>
        <w:t xml:space="preserve">ed to DBS after a thorough </w:t>
      </w:r>
      <w:r w:rsidRPr="00156420">
        <w:rPr>
          <w:rFonts w:ascii="Arial" w:hAnsi="Arial" w:cs="Arial"/>
          <w:lang w:val="en"/>
        </w:rPr>
        <w:t xml:space="preserve">assessment has indicated that one is both proportionate and relevant to the position concerned. For those positions where a criminal record check is identified as necessary, all application forms, </w:t>
      </w:r>
      <w:r w:rsidR="00FD17AA">
        <w:rPr>
          <w:rFonts w:ascii="Arial" w:hAnsi="Arial" w:cs="Arial"/>
          <w:lang w:val="en"/>
        </w:rPr>
        <w:t>role/</w:t>
      </w:r>
      <w:r w:rsidRPr="00156420">
        <w:rPr>
          <w:rFonts w:ascii="Arial" w:hAnsi="Arial" w:cs="Arial"/>
          <w:lang w:val="en"/>
        </w:rPr>
        <w:t>job adverts and recruitment briefs will contain a statement that an application for a DBS certificate will be submitted in the event</w:t>
      </w:r>
      <w:r w:rsidR="00FD17AA">
        <w:rPr>
          <w:rFonts w:ascii="Arial" w:hAnsi="Arial" w:cs="Arial"/>
          <w:lang w:val="en"/>
        </w:rPr>
        <w:t xml:space="preserve"> of the individual being considered for</w:t>
      </w:r>
      <w:r w:rsidRPr="00156420">
        <w:rPr>
          <w:rFonts w:ascii="Arial" w:hAnsi="Arial" w:cs="Arial"/>
          <w:lang w:val="en"/>
        </w:rPr>
        <w:t xml:space="preserve"> the position</w:t>
      </w:r>
    </w:p>
    <w:p w14:paraId="35D63A8E" w14:textId="63EF62BB" w:rsidR="00A7167F"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ensures that those in </w:t>
      </w:r>
      <w:r>
        <w:rPr>
          <w:rFonts w:ascii="Arial" w:hAnsi="Arial" w:cs="Arial"/>
          <w:lang w:val="en"/>
        </w:rPr>
        <w:t>the Parish of Dawlish with Holcombe</w:t>
      </w:r>
      <w:r w:rsidR="00A7167F" w:rsidRPr="00156420">
        <w:rPr>
          <w:rFonts w:ascii="Arial" w:hAnsi="Arial" w:cs="Arial"/>
          <w:lang w:val="en"/>
        </w:rPr>
        <w:t xml:space="preserve"> who are involved in the recruitment process have been suitably trained to identify and assess the relevance and circumstances of offences</w:t>
      </w:r>
      <w:r w:rsidR="00FD17AA">
        <w:rPr>
          <w:rFonts w:ascii="Arial" w:hAnsi="Arial" w:cs="Arial"/>
          <w:lang w:val="en"/>
        </w:rPr>
        <w:t xml:space="preserve"> under the guidance of the Diocesan Safeguarding Team</w:t>
      </w:r>
    </w:p>
    <w:p w14:paraId="76912C87" w14:textId="77777777" w:rsidR="00407B11" w:rsidRPr="00407B11" w:rsidRDefault="00407B11" w:rsidP="00201D4D">
      <w:pPr>
        <w:numPr>
          <w:ilvl w:val="0"/>
          <w:numId w:val="4"/>
        </w:numPr>
        <w:rPr>
          <w:rFonts w:ascii="Arial" w:hAnsi="Arial" w:cs="Arial"/>
        </w:rPr>
      </w:pPr>
      <w:r>
        <w:rPr>
          <w:rFonts w:ascii="Arial" w:hAnsi="Arial" w:cs="Arial"/>
        </w:rPr>
        <w:t>a</w:t>
      </w:r>
      <w:r w:rsidR="00E14CCF">
        <w:rPr>
          <w:rFonts w:ascii="Arial" w:hAnsi="Arial" w:cs="Arial"/>
        </w:rPr>
        <w:t>ny</w:t>
      </w:r>
      <w:r w:rsidRPr="00407B11">
        <w:rPr>
          <w:rFonts w:ascii="Arial" w:hAnsi="Arial" w:cs="Arial"/>
        </w:rPr>
        <w:t xml:space="preserve"> disclosure of a caution or conviction</w:t>
      </w:r>
      <w:r w:rsidR="00E14CCF">
        <w:rPr>
          <w:rFonts w:ascii="Arial" w:hAnsi="Arial" w:cs="Arial"/>
        </w:rPr>
        <w:t>, whether</w:t>
      </w:r>
      <w:r w:rsidRPr="00407B11">
        <w:rPr>
          <w:rFonts w:ascii="Arial" w:hAnsi="Arial" w:cs="Arial"/>
        </w:rPr>
        <w:t xml:space="preserve"> for </w:t>
      </w:r>
      <w:r w:rsidR="00E14CCF">
        <w:rPr>
          <w:rFonts w:ascii="Arial" w:hAnsi="Arial" w:cs="Arial"/>
        </w:rPr>
        <w:t xml:space="preserve">a </w:t>
      </w:r>
      <w:r w:rsidRPr="00407B11">
        <w:rPr>
          <w:rFonts w:ascii="Arial" w:hAnsi="Arial" w:cs="Arial"/>
        </w:rPr>
        <w:t>serious violent and</w:t>
      </w:r>
      <w:r w:rsidR="00E14CCF">
        <w:rPr>
          <w:rFonts w:ascii="Arial" w:hAnsi="Arial" w:cs="Arial"/>
        </w:rPr>
        <w:t>/or</w:t>
      </w:r>
      <w:r w:rsidRPr="00407B11">
        <w:rPr>
          <w:rFonts w:ascii="Arial" w:hAnsi="Arial" w:cs="Arial"/>
        </w:rPr>
        <w:t xml:space="preserve"> sexual offence or a conviction resulting in a custodial offence (whether or not suspended)</w:t>
      </w:r>
      <w:r w:rsidR="00E14CCF">
        <w:rPr>
          <w:rFonts w:ascii="Arial" w:hAnsi="Arial" w:cs="Arial"/>
        </w:rPr>
        <w:t>, or other intelligence information disclosed,</w:t>
      </w:r>
      <w:r w:rsidRPr="00407B11">
        <w:rPr>
          <w:rFonts w:ascii="Arial" w:hAnsi="Arial" w:cs="Arial"/>
        </w:rPr>
        <w:t xml:space="preserve"> will be referred to the Diocesan Safeguarding </w:t>
      </w:r>
      <w:r w:rsidR="00E14CCF">
        <w:rPr>
          <w:rFonts w:ascii="Arial" w:hAnsi="Arial" w:cs="Arial"/>
        </w:rPr>
        <w:t>Team</w:t>
      </w:r>
      <w:r w:rsidRPr="00407B11">
        <w:rPr>
          <w:rFonts w:ascii="Arial" w:hAnsi="Arial" w:cs="Arial"/>
        </w:rPr>
        <w:t xml:space="preserve"> for an </w:t>
      </w:r>
      <w:r>
        <w:rPr>
          <w:rFonts w:ascii="Arial" w:hAnsi="Arial" w:cs="Arial"/>
        </w:rPr>
        <w:t xml:space="preserve">initial assessment and </w:t>
      </w:r>
      <w:r w:rsidR="00E14CCF">
        <w:rPr>
          <w:rFonts w:ascii="Arial" w:hAnsi="Arial" w:cs="Arial"/>
        </w:rPr>
        <w:t xml:space="preserve">they </w:t>
      </w:r>
      <w:r>
        <w:rPr>
          <w:rFonts w:ascii="Arial" w:hAnsi="Arial" w:cs="Arial"/>
        </w:rPr>
        <w:t xml:space="preserve">will consult as appropriate with </w:t>
      </w:r>
      <w:r>
        <w:rPr>
          <w:rFonts w:ascii="Arial" w:hAnsi="Arial" w:cs="Arial"/>
        </w:rPr>
        <w:lastRenderedPageBreak/>
        <w:t>the individual responsible for the recruitment process as to whether the disclosure may affect suitability for the role.</w:t>
      </w:r>
    </w:p>
    <w:p w14:paraId="3A663A2B" w14:textId="57305E59" w:rsidR="00A7167F" w:rsidRPr="00156420" w:rsidRDefault="00A7167F" w:rsidP="00201D4D">
      <w:pPr>
        <w:numPr>
          <w:ilvl w:val="0"/>
          <w:numId w:val="4"/>
        </w:numPr>
        <w:rPr>
          <w:rFonts w:ascii="Arial" w:hAnsi="Arial" w:cs="Arial"/>
          <w:lang w:val="en"/>
        </w:rPr>
      </w:pPr>
      <w:r w:rsidRPr="00156420">
        <w:rPr>
          <w:rFonts w:ascii="Arial" w:hAnsi="Arial" w:cs="Arial"/>
          <w:lang w:val="en"/>
        </w:rPr>
        <w:t xml:space="preserve">at interview, or in a separate discussion, </w:t>
      </w:r>
      <w:r w:rsidR="002E7CAB">
        <w:rPr>
          <w:rFonts w:ascii="Arial" w:hAnsi="Arial" w:cs="Arial"/>
          <w:lang w:val="en"/>
        </w:rPr>
        <w:t>the Parish of Dawlish with Holcombe</w:t>
      </w:r>
      <w:r w:rsidRPr="00156420">
        <w:rPr>
          <w:rFonts w:ascii="Arial" w:hAnsi="Arial" w:cs="Arial"/>
          <w:lang w:val="en"/>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ED258A9" w14:textId="009CF8C2" w:rsidR="00A7167F"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makes every </w:t>
      </w:r>
      <w:r w:rsidR="00407B11">
        <w:rPr>
          <w:rFonts w:ascii="Arial" w:hAnsi="Arial" w:cs="Arial"/>
          <w:lang w:val="en"/>
        </w:rPr>
        <w:t xml:space="preserve">person </w:t>
      </w:r>
      <w:r w:rsidR="00A7167F" w:rsidRPr="00156420">
        <w:rPr>
          <w:rFonts w:ascii="Arial" w:hAnsi="Arial" w:cs="Arial"/>
          <w:lang w:val="en"/>
        </w:rPr>
        <w:t xml:space="preserve">subject of a criminal record check submitted to DBS aware of the existence of the </w:t>
      </w:r>
      <w:hyperlink r:id="rId14" w:history="1">
        <w:r w:rsidR="00A7167F" w:rsidRPr="00156420">
          <w:rPr>
            <w:rStyle w:val="Hyperlink"/>
            <w:rFonts w:ascii="Arial" w:hAnsi="Arial" w:cs="Arial"/>
            <w:lang w:val="en"/>
          </w:rPr>
          <w:t>code of practice</w:t>
        </w:r>
      </w:hyperlink>
      <w:r w:rsidR="00A7167F" w:rsidRPr="00156420">
        <w:rPr>
          <w:rFonts w:ascii="Arial" w:hAnsi="Arial" w:cs="Arial"/>
          <w:lang w:val="en"/>
        </w:rPr>
        <w:t xml:space="preserve"> and makes a copy available on request</w:t>
      </w:r>
    </w:p>
    <w:p w14:paraId="66A051D0" w14:textId="114EFE33" w:rsidR="00A7167F" w:rsidRDefault="002E7CAB" w:rsidP="00201D4D">
      <w:pPr>
        <w:numPr>
          <w:ilvl w:val="0"/>
          <w:numId w:val="4"/>
        </w:numPr>
        <w:rPr>
          <w:rFonts w:ascii="Arial" w:hAnsi="Arial" w:cs="Arial"/>
          <w:lang w:val="en"/>
        </w:rPr>
      </w:pPr>
      <w:r>
        <w:rPr>
          <w:rFonts w:ascii="Arial" w:hAnsi="Arial" w:cs="Arial"/>
          <w:lang w:val="en"/>
        </w:rPr>
        <w:t>The Parish of Dawlish with Holcombe</w:t>
      </w:r>
      <w:r w:rsidR="00A7167F" w:rsidRPr="00156420">
        <w:rPr>
          <w:rFonts w:ascii="Arial" w:hAnsi="Arial" w:cs="Arial"/>
          <w:lang w:val="en"/>
        </w:rPr>
        <w:t xml:space="preserve"> undertakes to discuss any matter revealed on a DBS certificate with the individual seeking the position before withdrawing a conditional offer of employment.</w:t>
      </w:r>
    </w:p>
    <w:p w14:paraId="2F6F93AC" w14:textId="60E2AFE9" w:rsidR="00360C69" w:rsidRPr="00156420" w:rsidRDefault="002E7CAB" w:rsidP="00201D4D">
      <w:pPr>
        <w:numPr>
          <w:ilvl w:val="0"/>
          <w:numId w:val="4"/>
        </w:numPr>
        <w:rPr>
          <w:rFonts w:ascii="Arial" w:hAnsi="Arial" w:cs="Arial"/>
          <w:lang w:val="en"/>
        </w:rPr>
      </w:pPr>
      <w:r>
        <w:rPr>
          <w:rFonts w:ascii="Arial" w:hAnsi="Arial" w:cs="Arial"/>
          <w:lang w:val="en"/>
        </w:rPr>
        <w:t>The Parish of Dawlish with Holcombe</w:t>
      </w:r>
      <w:r w:rsidR="00360C69">
        <w:rPr>
          <w:rFonts w:ascii="Arial" w:hAnsi="Arial" w:cs="Arial"/>
          <w:lang w:val="en"/>
        </w:rPr>
        <w:t xml:space="preserve"> will apply this policy to employed</w:t>
      </w:r>
      <w:r w:rsidR="00E14CCF">
        <w:rPr>
          <w:rFonts w:ascii="Arial" w:hAnsi="Arial" w:cs="Arial"/>
          <w:lang w:val="en"/>
        </w:rPr>
        <w:t>/paid</w:t>
      </w:r>
      <w:r w:rsidR="00360C69">
        <w:rPr>
          <w:rFonts w:ascii="Arial" w:hAnsi="Arial" w:cs="Arial"/>
          <w:lang w:val="en"/>
        </w:rPr>
        <w:t xml:space="preserve"> and volunteer roles.</w:t>
      </w:r>
    </w:p>
    <w:p w14:paraId="6680F1AB" w14:textId="77777777" w:rsidR="00E14CCF" w:rsidRDefault="00E14CCF" w:rsidP="00E14CCF">
      <w:pPr>
        <w:rPr>
          <w:rFonts w:ascii="Arial" w:hAnsi="Arial" w:cs="Arial"/>
          <w:lang w:val="en"/>
        </w:rPr>
      </w:pPr>
    </w:p>
    <w:p w14:paraId="7BC41232" w14:textId="77777777" w:rsidR="001A722A" w:rsidRDefault="00E14CCF">
      <w:pPr>
        <w:rPr>
          <w:rFonts w:ascii="Arial" w:hAnsi="Arial" w:cs="Arial"/>
          <w:lang w:val="en"/>
        </w:rPr>
      </w:pPr>
      <w:r>
        <w:rPr>
          <w:rFonts w:ascii="Arial" w:hAnsi="Arial" w:cs="Arial"/>
          <w:lang w:val="en"/>
        </w:rPr>
        <w:t>End of policy statement</w:t>
      </w:r>
    </w:p>
    <w:p w14:paraId="2BFB09A4" w14:textId="77777777" w:rsidR="00E14CCF" w:rsidRDefault="00E14CCF">
      <w:pPr>
        <w:rPr>
          <w:rFonts w:ascii="Arial" w:hAnsi="Arial" w:cs="Arial"/>
          <w:lang w:val="en"/>
        </w:rPr>
      </w:pPr>
    </w:p>
    <w:p w14:paraId="58ADAD9F" w14:textId="7643A86D" w:rsidR="001D3F23" w:rsidRPr="001D3F23" w:rsidRDefault="001D3F23" w:rsidP="001D3F23">
      <w:pPr>
        <w:rPr>
          <w:rFonts w:ascii="Arial" w:hAnsi="Arial" w:cs="Arial"/>
          <w:lang w:val="en"/>
        </w:rPr>
      </w:pPr>
      <w:r w:rsidRPr="001D3F23">
        <w:rPr>
          <w:rFonts w:ascii="Arial" w:hAnsi="Arial" w:cs="Arial"/>
          <w:lang w:val="en"/>
        </w:rPr>
        <w:t>D</w:t>
      </w:r>
      <w:r>
        <w:rPr>
          <w:rFonts w:ascii="Arial" w:hAnsi="Arial" w:cs="Arial"/>
          <w:lang w:val="en"/>
        </w:rPr>
        <w:t xml:space="preserve">ate of Adoption: </w:t>
      </w:r>
      <w:r w:rsidR="00DA19F2">
        <w:rPr>
          <w:rFonts w:ascii="Arial" w:hAnsi="Arial" w:cs="Arial"/>
          <w:lang w:val="en"/>
        </w:rPr>
        <w:t>21 July 2021</w:t>
      </w:r>
    </w:p>
    <w:p w14:paraId="19EA8CD3" w14:textId="77777777" w:rsidR="001D3F23" w:rsidRPr="001D3F23" w:rsidRDefault="001D3F23" w:rsidP="001D3F23">
      <w:pPr>
        <w:rPr>
          <w:rFonts w:ascii="Arial" w:hAnsi="Arial" w:cs="Arial"/>
          <w:lang w:val="en"/>
        </w:rPr>
      </w:pPr>
    </w:p>
    <w:p w14:paraId="562928E2" w14:textId="77777777" w:rsidR="001D3F23" w:rsidRPr="001D3F23" w:rsidRDefault="001D3F23" w:rsidP="001D3F23">
      <w:pPr>
        <w:rPr>
          <w:rFonts w:ascii="Arial" w:hAnsi="Arial" w:cs="Arial"/>
          <w:lang w:val="en"/>
        </w:rPr>
      </w:pPr>
      <w:r w:rsidRPr="001D3F23">
        <w:rPr>
          <w:rFonts w:ascii="Arial" w:hAnsi="Arial" w:cs="Arial"/>
          <w:lang w:val="en"/>
        </w:rPr>
        <w:t>Signed: ………………………………………………………</w:t>
      </w:r>
    </w:p>
    <w:p w14:paraId="041242B8" w14:textId="6EC157CF" w:rsidR="001D3F23" w:rsidRPr="001D3F23" w:rsidRDefault="004C6565" w:rsidP="001D3F23">
      <w:pPr>
        <w:rPr>
          <w:rFonts w:ascii="Arial" w:hAnsi="Arial" w:cs="Arial"/>
          <w:lang w:val="en"/>
        </w:rPr>
      </w:pPr>
      <w:r>
        <w:rPr>
          <w:rFonts w:ascii="Arial" w:hAnsi="Arial" w:cs="Arial"/>
          <w:lang w:val="en"/>
        </w:rPr>
        <w:tab/>
      </w:r>
      <w:r w:rsidR="00DA19F2">
        <w:rPr>
          <w:rFonts w:ascii="Arial" w:hAnsi="Arial" w:cs="Arial"/>
          <w:lang w:val="en"/>
        </w:rPr>
        <w:t>Revd Dallas Ayling</w:t>
      </w:r>
      <w:r>
        <w:rPr>
          <w:rFonts w:ascii="Arial" w:hAnsi="Arial" w:cs="Arial"/>
          <w:lang w:val="en"/>
        </w:rPr>
        <w:t>,</w:t>
      </w:r>
      <w:r w:rsidR="00DA19F2">
        <w:rPr>
          <w:rFonts w:ascii="Arial" w:hAnsi="Arial" w:cs="Arial"/>
          <w:lang w:val="en"/>
        </w:rPr>
        <w:t xml:space="preserve"> Rector</w:t>
      </w:r>
    </w:p>
    <w:p w14:paraId="4B962D70" w14:textId="77777777" w:rsidR="001D3F23" w:rsidRDefault="001D3F23" w:rsidP="001D3F23">
      <w:pPr>
        <w:rPr>
          <w:rFonts w:ascii="Arial" w:hAnsi="Arial" w:cs="Arial"/>
          <w:lang w:val="en"/>
        </w:rPr>
      </w:pPr>
      <w:r w:rsidRPr="001D3F23">
        <w:rPr>
          <w:rFonts w:ascii="Arial" w:hAnsi="Arial" w:cs="Arial"/>
          <w:lang w:val="en"/>
        </w:rPr>
        <w:t>Next Review Da</w:t>
      </w:r>
      <w:r>
        <w:rPr>
          <w:rFonts w:ascii="Arial" w:hAnsi="Arial" w:cs="Arial"/>
          <w:lang w:val="en"/>
        </w:rPr>
        <w:t xml:space="preserve">te: </w:t>
      </w:r>
      <w:r w:rsidRPr="001D3F23">
        <w:rPr>
          <w:rFonts w:ascii="Arial" w:hAnsi="Arial" w:cs="Arial"/>
          <w:lang w:val="en"/>
        </w:rPr>
        <w:t>…</w:t>
      </w:r>
      <w:r>
        <w:rPr>
          <w:rFonts w:ascii="Arial" w:hAnsi="Arial" w:cs="Arial"/>
          <w:lang w:val="en"/>
        </w:rPr>
        <w:t>………………………………………</w:t>
      </w:r>
    </w:p>
    <w:p w14:paraId="5B59FC0D" w14:textId="77777777" w:rsidR="001D3F23" w:rsidRDefault="001D3F23" w:rsidP="001D3F23">
      <w:pPr>
        <w:rPr>
          <w:rFonts w:ascii="Arial" w:hAnsi="Arial" w:cs="Arial"/>
          <w:lang w:val="en"/>
        </w:rPr>
      </w:pPr>
    </w:p>
    <w:p w14:paraId="26275AD0" w14:textId="77777777" w:rsidR="004C6565" w:rsidRDefault="004C6565">
      <w:pPr>
        <w:rPr>
          <w:rFonts w:ascii="Arial" w:hAnsi="Arial" w:cs="Arial"/>
          <w:lang w:val="en"/>
        </w:rPr>
      </w:pPr>
      <w:r>
        <w:rPr>
          <w:rFonts w:ascii="Arial" w:hAnsi="Arial" w:cs="Arial"/>
          <w:lang w:val="en"/>
        </w:rPr>
        <w:br w:type="page"/>
      </w:r>
    </w:p>
    <w:p w14:paraId="4ED39A1B" w14:textId="2D1EB5CA" w:rsidR="004C6565" w:rsidRPr="004C6565" w:rsidRDefault="004C6565" w:rsidP="001D3F23">
      <w:pPr>
        <w:rPr>
          <w:rFonts w:ascii="Arial" w:hAnsi="Arial" w:cs="Arial"/>
          <w:b/>
          <w:sz w:val="20"/>
          <w:u w:val="single"/>
          <w:lang w:val="en"/>
        </w:rPr>
      </w:pPr>
      <w:r w:rsidRPr="004C6565">
        <w:rPr>
          <w:rFonts w:ascii="Arial" w:hAnsi="Arial" w:cs="Arial"/>
          <w:b/>
          <w:sz w:val="20"/>
          <w:u w:val="single"/>
          <w:lang w:val="en"/>
        </w:rPr>
        <w:lastRenderedPageBreak/>
        <w:t>Revision History</w:t>
      </w:r>
    </w:p>
    <w:tbl>
      <w:tblPr>
        <w:tblStyle w:val="TableGrid"/>
        <w:tblW w:w="0" w:type="auto"/>
        <w:tblLook w:val="04A0" w:firstRow="1" w:lastRow="0" w:firstColumn="1" w:lastColumn="0" w:noHBand="0" w:noVBand="1"/>
      </w:tblPr>
      <w:tblGrid>
        <w:gridCol w:w="988"/>
        <w:gridCol w:w="1417"/>
        <w:gridCol w:w="4536"/>
        <w:gridCol w:w="2075"/>
      </w:tblGrid>
      <w:tr w:rsidR="004C6565" w:rsidRPr="004C6565" w14:paraId="0CE112D1" w14:textId="77777777" w:rsidTr="004C6565">
        <w:tc>
          <w:tcPr>
            <w:tcW w:w="988" w:type="dxa"/>
          </w:tcPr>
          <w:p w14:paraId="26CBCEA8" w14:textId="77777777" w:rsidR="004C6565" w:rsidRPr="004C6565" w:rsidRDefault="004C6565" w:rsidP="004C6565">
            <w:pPr>
              <w:jc w:val="center"/>
              <w:rPr>
                <w:rFonts w:ascii="Arial" w:hAnsi="Arial" w:cs="Arial"/>
                <w:b/>
                <w:sz w:val="20"/>
                <w:lang w:val="en"/>
              </w:rPr>
            </w:pPr>
            <w:r w:rsidRPr="004C6565">
              <w:rPr>
                <w:rFonts w:ascii="Arial" w:hAnsi="Arial" w:cs="Arial"/>
                <w:b/>
                <w:sz w:val="20"/>
                <w:lang w:val="en"/>
              </w:rPr>
              <w:t>Version No.</w:t>
            </w:r>
          </w:p>
        </w:tc>
        <w:tc>
          <w:tcPr>
            <w:tcW w:w="1417" w:type="dxa"/>
          </w:tcPr>
          <w:p w14:paraId="73C3DC7E" w14:textId="77777777" w:rsidR="004C6565" w:rsidRPr="004C6565" w:rsidRDefault="004C6565" w:rsidP="004C6565">
            <w:pPr>
              <w:jc w:val="center"/>
              <w:rPr>
                <w:rFonts w:ascii="Arial" w:hAnsi="Arial" w:cs="Arial"/>
                <w:b/>
                <w:sz w:val="20"/>
                <w:lang w:val="en"/>
              </w:rPr>
            </w:pPr>
            <w:r w:rsidRPr="004C6565">
              <w:rPr>
                <w:rFonts w:ascii="Arial" w:hAnsi="Arial" w:cs="Arial"/>
                <w:b/>
                <w:sz w:val="20"/>
                <w:lang w:val="en"/>
              </w:rPr>
              <w:t>Revision Date</w:t>
            </w:r>
          </w:p>
        </w:tc>
        <w:tc>
          <w:tcPr>
            <w:tcW w:w="4536" w:type="dxa"/>
          </w:tcPr>
          <w:p w14:paraId="3BEEC955" w14:textId="77777777" w:rsidR="004C6565" w:rsidRPr="004C6565" w:rsidRDefault="004C6565" w:rsidP="004C6565">
            <w:pPr>
              <w:jc w:val="center"/>
              <w:rPr>
                <w:rFonts w:ascii="Arial" w:hAnsi="Arial" w:cs="Arial"/>
                <w:b/>
                <w:sz w:val="20"/>
                <w:lang w:val="en"/>
              </w:rPr>
            </w:pPr>
            <w:r w:rsidRPr="004C6565">
              <w:rPr>
                <w:rFonts w:ascii="Arial" w:hAnsi="Arial" w:cs="Arial"/>
                <w:b/>
                <w:sz w:val="20"/>
                <w:lang w:val="en"/>
              </w:rPr>
              <w:t>Summary of Changes</w:t>
            </w:r>
          </w:p>
        </w:tc>
        <w:tc>
          <w:tcPr>
            <w:tcW w:w="2075" w:type="dxa"/>
          </w:tcPr>
          <w:p w14:paraId="52AE8996" w14:textId="77777777" w:rsidR="004C6565" w:rsidRPr="004C6565" w:rsidRDefault="004C6565" w:rsidP="004C6565">
            <w:pPr>
              <w:jc w:val="center"/>
              <w:rPr>
                <w:rFonts w:ascii="Arial" w:hAnsi="Arial" w:cs="Arial"/>
                <w:b/>
                <w:sz w:val="20"/>
                <w:lang w:val="en"/>
              </w:rPr>
            </w:pPr>
            <w:r w:rsidRPr="004C6565">
              <w:rPr>
                <w:rFonts w:ascii="Arial" w:hAnsi="Arial" w:cs="Arial"/>
                <w:b/>
                <w:sz w:val="20"/>
                <w:lang w:val="en"/>
              </w:rPr>
              <w:t>Author</w:t>
            </w:r>
          </w:p>
        </w:tc>
      </w:tr>
      <w:tr w:rsidR="004C6565" w:rsidRPr="004C6565" w14:paraId="4A6017D6" w14:textId="77777777" w:rsidTr="004C6565">
        <w:tc>
          <w:tcPr>
            <w:tcW w:w="988" w:type="dxa"/>
          </w:tcPr>
          <w:p w14:paraId="319B8ECE" w14:textId="77777777" w:rsidR="004C6565" w:rsidRPr="004C6565" w:rsidRDefault="004C6565" w:rsidP="004C6565">
            <w:pPr>
              <w:jc w:val="center"/>
              <w:rPr>
                <w:rFonts w:ascii="Arial" w:hAnsi="Arial" w:cs="Arial"/>
                <w:sz w:val="20"/>
                <w:lang w:val="en"/>
              </w:rPr>
            </w:pPr>
            <w:r>
              <w:rPr>
                <w:rFonts w:ascii="Arial" w:hAnsi="Arial" w:cs="Arial"/>
                <w:sz w:val="20"/>
                <w:lang w:val="en"/>
              </w:rPr>
              <w:t>1.0</w:t>
            </w:r>
          </w:p>
        </w:tc>
        <w:tc>
          <w:tcPr>
            <w:tcW w:w="1417" w:type="dxa"/>
          </w:tcPr>
          <w:p w14:paraId="37C23520" w14:textId="2F47E885" w:rsidR="004C6565" w:rsidRPr="004C6565" w:rsidRDefault="004C6565" w:rsidP="004C6565">
            <w:pPr>
              <w:jc w:val="center"/>
              <w:rPr>
                <w:rFonts w:ascii="Arial" w:hAnsi="Arial" w:cs="Arial"/>
                <w:sz w:val="20"/>
                <w:lang w:val="en"/>
              </w:rPr>
            </w:pPr>
          </w:p>
        </w:tc>
        <w:tc>
          <w:tcPr>
            <w:tcW w:w="4536" w:type="dxa"/>
          </w:tcPr>
          <w:p w14:paraId="307CE09F" w14:textId="709456DE" w:rsidR="004C6565" w:rsidRPr="004C6565" w:rsidRDefault="00457605" w:rsidP="001D3F23">
            <w:pPr>
              <w:rPr>
                <w:rFonts w:ascii="Arial" w:hAnsi="Arial" w:cs="Arial"/>
                <w:sz w:val="20"/>
                <w:lang w:val="en"/>
              </w:rPr>
            </w:pPr>
            <w:r>
              <w:rPr>
                <w:rFonts w:ascii="Arial" w:hAnsi="Arial" w:cs="Arial"/>
                <w:sz w:val="20"/>
                <w:lang w:val="en"/>
              </w:rPr>
              <w:t>Template</w:t>
            </w:r>
          </w:p>
        </w:tc>
        <w:tc>
          <w:tcPr>
            <w:tcW w:w="2075" w:type="dxa"/>
          </w:tcPr>
          <w:p w14:paraId="41C1FEFD" w14:textId="79939F01" w:rsidR="004C6565" w:rsidRPr="004C6565" w:rsidRDefault="004C6565" w:rsidP="001D3F23">
            <w:pPr>
              <w:rPr>
                <w:rFonts w:ascii="Arial" w:hAnsi="Arial" w:cs="Arial"/>
                <w:sz w:val="20"/>
                <w:lang w:val="en"/>
              </w:rPr>
            </w:pPr>
            <w:r>
              <w:rPr>
                <w:rFonts w:ascii="Arial" w:hAnsi="Arial" w:cs="Arial"/>
                <w:sz w:val="20"/>
                <w:lang w:val="en"/>
              </w:rPr>
              <w:t>Charlie Pitman</w:t>
            </w:r>
            <w:r w:rsidR="00457605">
              <w:rPr>
                <w:rFonts w:ascii="Arial" w:hAnsi="Arial" w:cs="Arial"/>
                <w:sz w:val="20"/>
                <w:lang w:val="en"/>
              </w:rPr>
              <w:t>/Phil Parker</w:t>
            </w:r>
          </w:p>
        </w:tc>
      </w:tr>
      <w:tr w:rsidR="004C6565" w:rsidRPr="004C6565" w14:paraId="4B071E2A" w14:textId="77777777" w:rsidTr="004C6565">
        <w:tc>
          <w:tcPr>
            <w:tcW w:w="988" w:type="dxa"/>
          </w:tcPr>
          <w:p w14:paraId="637F441B" w14:textId="3340B802" w:rsidR="004C6565" w:rsidRPr="004C6565" w:rsidRDefault="00457605" w:rsidP="004C6565">
            <w:pPr>
              <w:jc w:val="center"/>
              <w:rPr>
                <w:rFonts w:ascii="Arial" w:hAnsi="Arial" w:cs="Arial"/>
                <w:sz w:val="20"/>
                <w:lang w:val="en"/>
              </w:rPr>
            </w:pPr>
            <w:r>
              <w:rPr>
                <w:rFonts w:ascii="Arial" w:hAnsi="Arial" w:cs="Arial"/>
                <w:sz w:val="20"/>
                <w:lang w:val="en"/>
              </w:rPr>
              <w:t>1.1</w:t>
            </w:r>
          </w:p>
        </w:tc>
        <w:tc>
          <w:tcPr>
            <w:tcW w:w="1417" w:type="dxa"/>
          </w:tcPr>
          <w:p w14:paraId="2464B812" w14:textId="4ADF87C2" w:rsidR="004C6565" w:rsidRPr="004C6565" w:rsidRDefault="00457605" w:rsidP="004C6565">
            <w:pPr>
              <w:jc w:val="center"/>
              <w:rPr>
                <w:rFonts w:ascii="Arial" w:hAnsi="Arial" w:cs="Arial"/>
                <w:sz w:val="20"/>
                <w:lang w:val="en"/>
              </w:rPr>
            </w:pPr>
            <w:r>
              <w:rPr>
                <w:rFonts w:ascii="Arial" w:hAnsi="Arial" w:cs="Arial"/>
                <w:sz w:val="20"/>
                <w:lang w:val="en"/>
              </w:rPr>
              <w:t>05/07/2021</w:t>
            </w:r>
          </w:p>
        </w:tc>
        <w:tc>
          <w:tcPr>
            <w:tcW w:w="4536" w:type="dxa"/>
          </w:tcPr>
          <w:p w14:paraId="46F65278" w14:textId="3B87A540" w:rsidR="004C6565" w:rsidRPr="004C6565" w:rsidRDefault="00457605" w:rsidP="001D3F23">
            <w:pPr>
              <w:rPr>
                <w:rFonts w:ascii="Arial" w:hAnsi="Arial" w:cs="Arial"/>
                <w:sz w:val="20"/>
                <w:lang w:val="en"/>
              </w:rPr>
            </w:pPr>
            <w:r>
              <w:rPr>
                <w:rFonts w:ascii="Arial" w:hAnsi="Arial" w:cs="Arial"/>
                <w:sz w:val="20"/>
                <w:lang w:val="en"/>
              </w:rPr>
              <w:t>Adapted for the Parish of Dawlish with Holcombe</w:t>
            </w:r>
          </w:p>
        </w:tc>
        <w:tc>
          <w:tcPr>
            <w:tcW w:w="2075" w:type="dxa"/>
          </w:tcPr>
          <w:p w14:paraId="72C6ADD1" w14:textId="0C8FC7B8" w:rsidR="004C6565" w:rsidRPr="004C6565" w:rsidRDefault="00457605" w:rsidP="001D3F23">
            <w:pPr>
              <w:rPr>
                <w:rFonts w:ascii="Arial" w:hAnsi="Arial" w:cs="Arial"/>
                <w:sz w:val="20"/>
                <w:lang w:val="en"/>
              </w:rPr>
            </w:pPr>
            <w:r>
              <w:rPr>
                <w:rFonts w:ascii="Arial" w:hAnsi="Arial" w:cs="Arial"/>
                <w:sz w:val="20"/>
                <w:lang w:val="en"/>
              </w:rPr>
              <w:t>Will Halse</w:t>
            </w:r>
          </w:p>
        </w:tc>
      </w:tr>
      <w:tr w:rsidR="004C6565" w:rsidRPr="004C6565" w14:paraId="711559F6" w14:textId="77777777" w:rsidTr="004C6565">
        <w:tc>
          <w:tcPr>
            <w:tcW w:w="988" w:type="dxa"/>
          </w:tcPr>
          <w:p w14:paraId="6B1D192E" w14:textId="60F1630E" w:rsidR="004C6565" w:rsidRPr="004C6565" w:rsidRDefault="004C6565" w:rsidP="004C6565">
            <w:pPr>
              <w:jc w:val="center"/>
              <w:rPr>
                <w:rFonts w:ascii="Arial" w:hAnsi="Arial" w:cs="Arial"/>
                <w:sz w:val="20"/>
                <w:lang w:val="en"/>
              </w:rPr>
            </w:pPr>
          </w:p>
        </w:tc>
        <w:tc>
          <w:tcPr>
            <w:tcW w:w="1417" w:type="dxa"/>
          </w:tcPr>
          <w:p w14:paraId="565BF771" w14:textId="3985E6BB" w:rsidR="004C6565" w:rsidRPr="004C6565" w:rsidRDefault="004C6565" w:rsidP="004C6565">
            <w:pPr>
              <w:jc w:val="center"/>
              <w:rPr>
                <w:rFonts w:ascii="Arial" w:hAnsi="Arial" w:cs="Arial"/>
                <w:sz w:val="20"/>
                <w:lang w:val="en"/>
              </w:rPr>
            </w:pPr>
          </w:p>
        </w:tc>
        <w:tc>
          <w:tcPr>
            <w:tcW w:w="4536" w:type="dxa"/>
          </w:tcPr>
          <w:p w14:paraId="5C15A0F3" w14:textId="3ECC2A77" w:rsidR="004C6565" w:rsidRPr="004C6565" w:rsidRDefault="004C6565" w:rsidP="001D3F23">
            <w:pPr>
              <w:rPr>
                <w:rFonts w:ascii="Arial" w:hAnsi="Arial" w:cs="Arial"/>
                <w:sz w:val="20"/>
                <w:lang w:val="en"/>
              </w:rPr>
            </w:pPr>
          </w:p>
        </w:tc>
        <w:tc>
          <w:tcPr>
            <w:tcW w:w="2075" w:type="dxa"/>
          </w:tcPr>
          <w:p w14:paraId="44CC6A43" w14:textId="7C680D1E" w:rsidR="004C6565" w:rsidRPr="004C6565" w:rsidRDefault="004C6565" w:rsidP="001D3F23">
            <w:pPr>
              <w:rPr>
                <w:rFonts w:ascii="Arial" w:hAnsi="Arial" w:cs="Arial"/>
                <w:sz w:val="20"/>
                <w:lang w:val="en"/>
              </w:rPr>
            </w:pPr>
          </w:p>
        </w:tc>
      </w:tr>
    </w:tbl>
    <w:p w14:paraId="5B293976" w14:textId="77777777" w:rsidR="004C6565" w:rsidRPr="004C6565" w:rsidRDefault="004C6565" w:rsidP="001D3F23">
      <w:pPr>
        <w:rPr>
          <w:rFonts w:ascii="Arial" w:hAnsi="Arial" w:cs="Arial"/>
          <w:sz w:val="20"/>
          <w:lang w:val="en"/>
        </w:rPr>
      </w:pPr>
    </w:p>
    <w:sectPr w:rsidR="004C6565" w:rsidRPr="004C656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C8A2" w14:textId="77777777" w:rsidR="00F700A1" w:rsidRDefault="00F700A1" w:rsidP="00360C69">
      <w:pPr>
        <w:spacing w:after="0" w:line="240" w:lineRule="auto"/>
      </w:pPr>
      <w:r>
        <w:separator/>
      </w:r>
    </w:p>
  </w:endnote>
  <w:endnote w:type="continuationSeparator" w:id="0">
    <w:p w14:paraId="219CC7F0" w14:textId="77777777" w:rsidR="00F700A1" w:rsidRDefault="00F700A1" w:rsidP="003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9193" w14:textId="77777777" w:rsidR="00360C69" w:rsidRPr="00D66347" w:rsidRDefault="004C6565" w:rsidP="004C6565">
    <w:pPr>
      <w:pStyle w:val="Footer"/>
      <w:rPr>
        <w:rFonts w:ascii="Arial" w:hAnsi="Arial" w:cs="Arial"/>
        <w:color w:val="A6A6A6" w:themeColor="background1" w:themeShade="A6"/>
        <w:sz w:val="24"/>
        <w:szCs w:val="24"/>
      </w:rPr>
    </w:pPr>
    <w:r>
      <w:rPr>
        <w:rFonts w:ascii="Arial" w:hAnsi="Arial" w:cs="Arial"/>
        <w:color w:val="A6A6A6" w:themeColor="background1" w:themeShade="A6"/>
        <w:sz w:val="24"/>
        <w:szCs w:val="24"/>
      </w:rPr>
      <w:t>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2941" w14:textId="77777777" w:rsidR="00F700A1" w:rsidRDefault="00F700A1" w:rsidP="00360C69">
      <w:pPr>
        <w:spacing w:after="0" w:line="240" w:lineRule="auto"/>
      </w:pPr>
      <w:r>
        <w:separator/>
      </w:r>
    </w:p>
  </w:footnote>
  <w:footnote w:type="continuationSeparator" w:id="0">
    <w:p w14:paraId="287BFD92" w14:textId="77777777" w:rsidR="00F700A1" w:rsidRDefault="00F700A1" w:rsidP="0036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0F"/>
    <w:multiLevelType w:val="multilevel"/>
    <w:tmpl w:val="65F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34A9D"/>
    <w:multiLevelType w:val="hybridMultilevel"/>
    <w:tmpl w:val="3F262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F"/>
    <w:rsid w:val="00156420"/>
    <w:rsid w:val="001A722A"/>
    <w:rsid w:val="001D3F23"/>
    <w:rsid w:val="001F79E6"/>
    <w:rsid w:val="00201D4D"/>
    <w:rsid w:val="00270690"/>
    <w:rsid w:val="002E7CAB"/>
    <w:rsid w:val="00360C69"/>
    <w:rsid w:val="00407B11"/>
    <w:rsid w:val="00444528"/>
    <w:rsid w:val="00457605"/>
    <w:rsid w:val="004A79F5"/>
    <w:rsid w:val="004C6565"/>
    <w:rsid w:val="00586ADB"/>
    <w:rsid w:val="00681C92"/>
    <w:rsid w:val="006A1630"/>
    <w:rsid w:val="00754557"/>
    <w:rsid w:val="00A7167F"/>
    <w:rsid w:val="00D66347"/>
    <w:rsid w:val="00DA19F2"/>
    <w:rsid w:val="00E14CCF"/>
    <w:rsid w:val="00ED166A"/>
    <w:rsid w:val="00ED5B03"/>
    <w:rsid w:val="00F700A1"/>
    <w:rsid w:val="00F71745"/>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ED43"/>
  <w15:docId w15:val="{44A5C2C8-D7F0-4FC3-80B6-F3A7B8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16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7F"/>
    <w:rPr>
      <w:color w:val="0000FF" w:themeColor="hyperlink"/>
      <w:u w:val="single"/>
    </w:rPr>
  </w:style>
  <w:style w:type="character" w:customStyle="1" w:styleId="Heading2Char">
    <w:name w:val="Heading 2 Char"/>
    <w:basedOn w:val="DefaultParagraphFont"/>
    <w:link w:val="Heading2"/>
    <w:uiPriority w:val="9"/>
    <w:rsid w:val="00A716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20"/>
    <w:rPr>
      <w:rFonts w:ascii="Tahoma" w:hAnsi="Tahoma" w:cs="Tahoma"/>
      <w:sz w:val="16"/>
      <w:szCs w:val="16"/>
    </w:rPr>
  </w:style>
  <w:style w:type="character" w:styleId="FollowedHyperlink">
    <w:name w:val="FollowedHyperlink"/>
    <w:basedOn w:val="DefaultParagraphFont"/>
    <w:uiPriority w:val="99"/>
    <w:semiHidden/>
    <w:unhideWhenUsed/>
    <w:rsid w:val="006A1630"/>
    <w:rPr>
      <w:color w:val="800080" w:themeColor="followedHyperlink"/>
      <w:u w:val="single"/>
    </w:rPr>
  </w:style>
  <w:style w:type="paragraph" w:styleId="Header">
    <w:name w:val="header"/>
    <w:basedOn w:val="Normal"/>
    <w:link w:val="HeaderChar"/>
    <w:uiPriority w:val="99"/>
    <w:unhideWhenUsed/>
    <w:rsid w:val="0036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69"/>
  </w:style>
  <w:style w:type="paragraph" w:styleId="Footer">
    <w:name w:val="footer"/>
    <w:basedOn w:val="Normal"/>
    <w:link w:val="FooterChar"/>
    <w:uiPriority w:val="99"/>
    <w:unhideWhenUsed/>
    <w:rsid w:val="0036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69"/>
  </w:style>
  <w:style w:type="table" w:styleId="TableGrid">
    <w:name w:val="Table Grid"/>
    <w:basedOn w:val="TableNormal"/>
    <w:uiPriority w:val="59"/>
    <w:rsid w:val="0036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4092">
      <w:bodyDiv w:val="1"/>
      <w:marLeft w:val="0"/>
      <w:marRight w:val="0"/>
      <w:marTop w:val="0"/>
      <w:marBottom w:val="0"/>
      <w:divBdr>
        <w:top w:val="none" w:sz="0" w:space="0" w:color="auto"/>
        <w:left w:val="none" w:sz="0" w:space="0" w:color="auto"/>
        <w:bottom w:val="none" w:sz="0" w:space="0" w:color="auto"/>
        <w:right w:val="none" w:sz="0" w:space="0" w:color="auto"/>
      </w:divBdr>
      <w:divsChild>
        <w:div w:id="597716587">
          <w:marLeft w:val="0"/>
          <w:marRight w:val="0"/>
          <w:marTop w:val="0"/>
          <w:marBottom w:val="0"/>
          <w:divBdr>
            <w:top w:val="none" w:sz="0" w:space="0" w:color="auto"/>
            <w:left w:val="none" w:sz="0" w:space="0" w:color="auto"/>
            <w:bottom w:val="none" w:sz="0" w:space="0" w:color="auto"/>
            <w:right w:val="none" w:sz="0" w:space="0" w:color="auto"/>
          </w:divBdr>
          <w:divsChild>
            <w:div w:id="424963664">
              <w:marLeft w:val="0"/>
              <w:marRight w:val="0"/>
              <w:marTop w:val="0"/>
              <w:marBottom w:val="0"/>
              <w:divBdr>
                <w:top w:val="none" w:sz="0" w:space="0" w:color="auto"/>
                <w:left w:val="none" w:sz="0" w:space="0" w:color="auto"/>
                <w:bottom w:val="none" w:sz="0" w:space="0" w:color="auto"/>
                <w:right w:val="none" w:sz="0" w:space="0" w:color="auto"/>
              </w:divBdr>
              <w:divsChild>
                <w:div w:id="1027293426">
                  <w:marLeft w:val="0"/>
                  <w:marRight w:val="0"/>
                  <w:marTop w:val="0"/>
                  <w:marBottom w:val="0"/>
                  <w:divBdr>
                    <w:top w:val="none" w:sz="0" w:space="0" w:color="auto"/>
                    <w:left w:val="none" w:sz="0" w:space="0" w:color="auto"/>
                    <w:bottom w:val="none" w:sz="0" w:space="0" w:color="auto"/>
                    <w:right w:val="none" w:sz="0" w:space="0" w:color="auto"/>
                  </w:divBdr>
                  <w:divsChild>
                    <w:div w:id="722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4249">
      <w:bodyDiv w:val="1"/>
      <w:marLeft w:val="0"/>
      <w:marRight w:val="0"/>
      <w:marTop w:val="0"/>
      <w:marBottom w:val="0"/>
      <w:divBdr>
        <w:top w:val="none" w:sz="0" w:space="0" w:color="auto"/>
        <w:left w:val="none" w:sz="0" w:space="0" w:color="auto"/>
        <w:bottom w:val="none" w:sz="0" w:space="0" w:color="auto"/>
        <w:right w:val="none" w:sz="0" w:space="0" w:color="auto"/>
      </w:divBdr>
      <w:divsChild>
        <w:div w:id="419986656">
          <w:marLeft w:val="0"/>
          <w:marRight w:val="0"/>
          <w:marTop w:val="0"/>
          <w:marBottom w:val="0"/>
          <w:divBdr>
            <w:top w:val="none" w:sz="0" w:space="0" w:color="auto"/>
            <w:left w:val="none" w:sz="0" w:space="0" w:color="auto"/>
            <w:bottom w:val="none" w:sz="0" w:space="0" w:color="auto"/>
            <w:right w:val="none" w:sz="0" w:space="0" w:color="auto"/>
          </w:divBdr>
          <w:divsChild>
            <w:div w:id="498539703">
              <w:marLeft w:val="0"/>
              <w:marRight w:val="0"/>
              <w:marTop w:val="0"/>
              <w:marBottom w:val="0"/>
              <w:divBdr>
                <w:top w:val="none" w:sz="0" w:space="0" w:color="auto"/>
                <w:left w:val="none" w:sz="0" w:space="0" w:color="auto"/>
                <w:bottom w:val="none" w:sz="0" w:space="0" w:color="auto"/>
                <w:right w:val="none" w:sz="0" w:space="0" w:color="auto"/>
              </w:divBdr>
              <w:divsChild>
                <w:div w:id="685330024">
                  <w:marLeft w:val="0"/>
                  <w:marRight w:val="0"/>
                  <w:marTop w:val="0"/>
                  <w:marBottom w:val="0"/>
                  <w:divBdr>
                    <w:top w:val="none" w:sz="0" w:space="0" w:color="auto"/>
                    <w:left w:val="none" w:sz="0" w:space="0" w:color="auto"/>
                    <w:bottom w:val="none" w:sz="0" w:space="0" w:color="auto"/>
                    <w:right w:val="none" w:sz="0" w:space="0" w:color="auto"/>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07">
      <w:bodyDiv w:val="1"/>
      <w:marLeft w:val="0"/>
      <w:marRight w:val="0"/>
      <w:marTop w:val="0"/>
      <w:marBottom w:val="0"/>
      <w:divBdr>
        <w:top w:val="none" w:sz="0" w:space="0" w:color="auto"/>
        <w:left w:val="none" w:sz="0" w:space="0" w:color="auto"/>
        <w:bottom w:val="none" w:sz="0" w:space="0" w:color="auto"/>
        <w:right w:val="none" w:sz="0" w:space="0" w:color="auto"/>
      </w:divBdr>
    </w:div>
    <w:div w:id="1710453727">
      <w:bodyDiv w:val="1"/>
      <w:marLeft w:val="0"/>
      <w:marRight w:val="0"/>
      <w:marTop w:val="0"/>
      <w:marBottom w:val="0"/>
      <w:divBdr>
        <w:top w:val="none" w:sz="0" w:space="0" w:color="auto"/>
        <w:left w:val="none" w:sz="0" w:space="0" w:color="auto"/>
        <w:bottom w:val="none" w:sz="0" w:space="0" w:color="auto"/>
        <w:right w:val="none" w:sz="0" w:space="0" w:color="auto"/>
      </w:divBdr>
      <w:divsChild>
        <w:div w:id="401410024">
          <w:marLeft w:val="0"/>
          <w:marRight w:val="0"/>
          <w:marTop w:val="0"/>
          <w:marBottom w:val="0"/>
          <w:divBdr>
            <w:top w:val="none" w:sz="0" w:space="0" w:color="auto"/>
            <w:left w:val="none" w:sz="0" w:space="0" w:color="auto"/>
            <w:bottom w:val="none" w:sz="0" w:space="0" w:color="auto"/>
            <w:right w:val="none" w:sz="0" w:space="0" w:color="auto"/>
          </w:divBdr>
          <w:divsChild>
            <w:div w:id="1672827984">
              <w:marLeft w:val="0"/>
              <w:marRight w:val="0"/>
              <w:marTop w:val="0"/>
              <w:marBottom w:val="0"/>
              <w:divBdr>
                <w:top w:val="none" w:sz="0" w:space="0" w:color="auto"/>
                <w:left w:val="none" w:sz="0" w:space="0" w:color="auto"/>
                <w:bottom w:val="none" w:sz="0" w:space="0" w:color="auto"/>
                <w:right w:val="none" w:sz="0" w:space="0" w:color="auto"/>
              </w:divBdr>
              <w:divsChild>
                <w:div w:id="1784031824">
                  <w:marLeft w:val="0"/>
                  <w:marRight w:val="0"/>
                  <w:marTop w:val="0"/>
                  <w:marBottom w:val="0"/>
                  <w:divBdr>
                    <w:top w:val="none" w:sz="0" w:space="0" w:color="auto"/>
                    <w:left w:val="none" w:sz="0" w:space="0" w:color="auto"/>
                    <w:bottom w:val="none" w:sz="0" w:space="0" w:color="auto"/>
                    <w:right w:val="none" w:sz="0" w:space="0" w:color="auto"/>
                  </w:divBdr>
                  <w:divsChild>
                    <w:div w:id="1093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E853-245E-4BDF-95D4-67872A56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Will</cp:lastModifiedBy>
  <cp:revision>5</cp:revision>
  <dcterms:created xsi:type="dcterms:W3CDTF">2021-07-05T17:35:00Z</dcterms:created>
  <dcterms:modified xsi:type="dcterms:W3CDTF">2021-07-25T16:04:00Z</dcterms:modified>
</cp:coreProperties>
</file>